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4F" w:rsidRDefault="00363816" w:rsidP="00FD00F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5654F" w:rsidRDefault="00363816" w:rsidP="00FD00F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«Центр образования </w:t>
      </w:r>
      <w:r w:rsidR="0025654F">
        <w:rPr>
          <w:rFonts w:hAnsi="Times New Roman" w:cs="Times New Roman"/>
          <w:color w:val="000000"/>
          <w:sz w:val="24"/>
          <w:szCs w:val="24"/>
          <w:lang w:val="ru-RU"/>
        </w:rPr>
        <w:t>села Мейныпильгыно</w:t>
      </w: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37DE7" w:rsidRPr="0025654F" w:rsidRDefault="00363816" w:rsidP="00FD00F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5654F" w:rsidRPr="0025654F"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«Центр образования </w:t>
      </w:r>
      <w:r w:rsidR="0025654F">
        <w:rPr>
          <w:rFonts w:hAnsi="Times New Roman" w:cs="Times New Roman"/>
          <w:color w:val="000000"/>
          <w:sz w:val="24"/>
          <w:szCs w:val="24"/>
          <w:lang w:val="ru-RU"/>
        </w:rPr>
        <w:t>с. Мейныпильгыно</w:t>
      </w:r>
      <w:r w:rsidR="0025654F" w:rsidRPr="002565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5654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37DE7" w:rsidRPr="0025654F" w:rsidRDefault="00F37DE7" w:rsidP="00FD00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00F5" w:rsidRDefault="00FD00F5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CB001E" w:rsidRPr="00B61BCB" w:rsidTr="00AA1BE3">
        <w:trPr>
          <w:trHeight w:val="167"/>
        </w:trPr>
        <w:tc>
          <w:tcPr>
            <w:tcW w:w="4786" w:type="dxa"/>
            <w:hideMark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1BCB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B61BCB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</w:tr>
      <w:tr w:rsidR="00CB001E" w:rsidRPr="00CB001E" w:rsidTr="00AA1BE3">
        <w:trPr>
          <w:trHeight w:val="167"/>
        </w:trPr>
        <w:tc>
          <w:tcPr>
            <w:tcW w:w="4786" w:type="dxa"/>
            <w:hideMark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Советом обучающихся </w:t>
            </w:r>
          </w:p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07.06.2022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Педагогическим советом </w:t>
            </w:r>
          </w:p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B001E">
              <w:rPr>
                <w:rFonts w:ascii="Times New Roman" w:hAnsi="Times New Roman" w:cs="Times New Roman"/>
                <w:lang w:val="ru-RU"/>
              </w:rPr>
              <w:t>7.</w:t>
            </w: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B001E" w:rsidRPr="00CB001E" w:rsidTr="00AA1BE3">
        <w:trPr>
          <w:trHeight w:val="167"/>
        </w:trPr>
        <w:tc>
          <w:tcPr>
            <w:tcW w:w="4786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B001E" w:rsidRPr="00B61BCB" w:rsidTr="00AA1BE3">
        <w:trPr>
          <w:trHeight w:val="167"/>
        </w:trPr>
        <w:tc>
          <w:tcPr>
            <w:tcW w:w="4786" w:type="dxa"/>
            <w:hideMark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1BCB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B61BCB">
              <w:rPr>
                <w:rFonts w:ascii="Times New Roman" w:hAnsi="Times New Roman" w:cs="Times New Roman"/>
                <w:b/>
              </w:rPr>
              <w:t>Рассмотрено, согласовано, принято</w:t>
            </w:r>
          </w:p>
        </w:tc>
      </w:tr>
      <w:tr w:rsidR="00CB001E" w:rsidRPr="00CB001E" w:rsidTr="00AA1BE3">
        <w:trPr>
          <w:trHeight w:val="167"/>
        </w:trPr>
        <w:tc>
          <w:tcPr>
            <w:tcW w:w="4786" w:type="dxa"/>
            <w:hideMark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Советом родителей  </w:t>
            </w:r>
          </w:p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lang w:val="ru-RU"/>
              </w:rPr>
              <w:t>07.06.2022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Советом Центра</w:t>
            </w:r>
          </w:p>
          <w:p w:rsidR="00CB001E" w:rsidRPr="00CB001E" w:rsidRDefault="00CB001E" w:rsidP="005C019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(протокол от </w:t>
            </w:r>
            <w:r w:rsidR="00911294">
              <w:rPr>
                <w:rFonts w:ascii="Times New Roman" w:hAnsi="Times New Roman" w:cs="Times New Roman"/>
                <w:lang w:val="ru-RU"/>
              </w:rPr>
              <w:t>09.06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 w:rsidR="00911294"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</w:t>
            </w:r>
            <w:r w:rsidR="005C0190">
              <w:rPr>
                <w:rFonts w:ascii="Times New Roman" w:hAnsi="Times New Roman" w:cs="Times New Roman"/>
                <w:lang w:val="ru-RU"/>
              </w:rPr>
              <w:t>5</w:t>
            </w:r>
            <w:r w:rsidRPr="00CB001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B001E" w:rsidRPr="00CB001E" w:rsidTr="00AA1BE3">
        <w:trPr>
          <w:trHeight w:val="167"/>
        </w:trPr>
        <w:tc>
          <w:tcPr>
            <w:tcW w:w="4786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B001E" w:rsidRPr="00B61BCB" w:rsidTr="00AA1BE3">
        <w:trPr>
          <w:trHeight w:val="167"/>
        </w:trPr>
        <w:tc>
          <w:tcPr>
            <w:tcW w:w="4786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1BCB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CB001E" w:rsidRPr="00CB001E" w:rsidTr="00AA1BE3">
        <w:trPr>
          <w:trHeight w:val="167"/>
        </w:trPr>
        <w:tc>
          <w:tcPr>
            <w:tcW w:w="4786" w:type="dxa"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CB001E" w:rsidRPr="00B61BCB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 xml:space="preserve">Приказом директора </w:t>
            </w:r>
          </w:p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от 1</w:t>
            </w:r>
            <w:r w:rsidR="00511333">
              <w:rPr>
                <w:rFonts w:ascii="Times New Roman" w:hAnsi="Times New Roman" w:cs="Times New Roman"/>
                <w:lang w:val="ru-RU"/>
              </w:rPr>
              <w:t>0.06</w:t>
            </w:r>
            <w:r w:rsidRPr="00CB001E">
              <w:rPr>
                <w:rFonts w:ascii="Times New Roman" w:hAnsi="Times New Roman" w:cs="Times New Roman"/>
                <w:lang w:val="ru-RU"/>
              </w:rPr>
              <w:t>.202</w:t>
            </w:r>
            <w:r w:rsidR="00511333">
              <w:rPr>
                <w:rFonts w:ascii="Times New Roman" w:hAnsi="Times New Roman" w:cs="Times New Roman"/>
                <w:lang w:val="ru-RU"/>
              </w:rPr>
              <w:t>2</w:t>
            </w:r>
            <w:r w:rsidRPr="00CB001E">
              <w:rPr>
                <w:rFonts w:ascii="Times New Roman" w:hAnsi="Times New Roman" w:cs="Times New Roman"/>
                <w:lang w:val="ru-RU"/>
              </w:rPr>
              <w:t xml:space="preserve"> г. № 03-03/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11333">
              <w:rPr>
                <w:rFonts w:ascii="Times New Roman" w:hAnsi="Times New Roman" w:cs="Times New Roman"/>
                <w:lang w:val="ru-RU"/>
              </w:rPr>
              <w:t>45</w:t>
            </w:r>
          </w:p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CB001E" w:rsidRPr="00CB001E" w:rsidRDefault="00CB001E" w:rsidP="00CB001E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CB001E">
              <w:rPr>
                <w:rFonts w:ascii="Times New Roman" w:hAnsi="Times New Roman" w:cs="Times New Roman"/>
                <w:lang w:val="ru-RU"/>
              </w:rPr>
              <w:t>Директор                       М.А. Федорова</w:t>
            </w:r>
          </w:p>
        </w:tc>
      </w:tr>
    </w:tbl>
    <w:p w:rsidR="00FD00F5" w:rsidRDefault="00511333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4272495" wp14:editId="7CB34A35">
            <wp:simplePos x="0" y="0"/>
            <wp:positionH relativeFrom="column">
              <wp:posOffset>2968625</wp:posOffset>
            </wp:positionH>
            <wp:positionV relativeFrom="paragraph">
              <wp:posOffset>110490</wp:posOffset>
            </wp:positionV>
            <wp:extent cx="3124200" cy="1303655"/>
            <wp:effectExtent l="0" t="0" r="0" b="0"/>
            <wp:wrapNone/>
            <wp:docPr id="1" name="Рисунок 1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01E" w:rsidRDefault="00CB001E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D00F5" w:rsidRDefault="00FD00F5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001E" w:rsidRDefault="00CB001E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001E" w:rsidRDefault="00CB001E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6F5A" w:rsidRDefault="00DF6F5A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1333" w:rsidRDefault="00511333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1333" w:rsidRDefault="00511333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654F" w:rsidRPr="00FD00F5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FD00F5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оложение </w:t>
      </w:r>
    </w:p>
    <w:p w:rsidR="0025654F" w:rsidRPr="00FD00F5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использовании государственных символов </w:t>
      </w:r>
    </w:p>
    <w:p w:rsidR="00F37DE7" w:rsidRPr="00FD00F5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МБОУ </w:t>
      </w:r>
      <w:r w:rsidR="0025654F" w:rsidRPr="00FD00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«Центр образования с. Мейныпильгыно»</w:t>
      </w:r>
    </w:p>
    <w:p w:rsidR="00FD00F5" w:rsidRPr="00FD00F5" w:rsidRDefault="00FD00F5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001E" w:rsidRDefault="00CB001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F37DE7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FD00F5" w:rsidRPr="00FD00F5" w:rsidRDefault="00FD00F5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FD00F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FD00F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использовании государственных символов в МБОУ </w:t>
      </w:r>
      <w:r w:rsidR="0025654F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«Центр образования села Мейныпильгыно»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</w:t>
      </w:r>
      <w:r w:rsidR="0025654F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тексту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Положение) определяет порядок использования (установления, размещения) Государственного флага Российской Федерации, Государственного герба Российской Федерации, а также исполнения Государственного гимна Российской Федерации в МБОУ </w:t>
      </w:r>
      <w:r w:rsidR="0025654F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«Центр образования с. Мейныпильгыно»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образовательная организация).</w:t>
      </w:r>
    </w:p>
    <w:p w:rsidR="00FD00F5" w:rsidRPr="00FD00F5" w:rsidRDefault="00FD00F5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FD00F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 w:rsidR="00FD00F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D00F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флаг Российской Федерации (далее – Флаг) является официальным государственным символом Российской Федерации.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 представляет собой прямоугольное полотнище из трех равновеликих горизонтальных полос: верхней – белого, средней – синего и нижней – красного цвета. Отношение ширины флага к его длине 2:3.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Флага с нарушением Федерального конституционного закона от 25.12.2000 </w:t>
      </w:r>
      <w:r w:rsidR="00FD00F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1-ФКЗ «О Государственном флаге Российской Федерации», а также надругательство над Государственным флагом Российской Федерации влекут за собой ответственность в соответствии с законодательством РФ.</w:t>
      </w:r>
    </w:p>
    <w:p w:rsidR="00FD00F5" w:rsidRPr="00FD00F5" w:rsidRDefault="00FD00F5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FD00F5" w:rsidP="00FD00F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герб Российской Федерации (далее – Герб) является официальным государственным символом Российской Федерации.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Герб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– скипетр, в левой – держава.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Воспроизведение Герба допускается без геральдического щита (в виде главной фигуры – двуглавого орла с атрибутами), а также в одноцветном варианте.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Герба с нарушением Федерального конституционного закона от 25.12.2000</w:t>
      </w:r>
      <w:r w:rsidR="00FD00F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2-ФКЗ «О Государственном гербе Российской Федерации», а также надругательство над Государственным гербом Российской Федерации влечет за собой ответственность в соответствии с законодательством РФ.</w:t>
      </w:r>
    </w:p>
    <w:p w:rsidR="00FD00F5" w:rsidRPr="00FD00F5" w:rsidRDefault="00FD00F5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FD00F5" w:rsidP="00FD00F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 гимн Российской Федерации (далее – Гимн) является официальным государственным символом Российской Федерации.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 должен исполняться в точном соответствии с музыкальной редакцией и текстом, утвержденными Федеральным конституционным законом от 25.12.2000</w:t>
      </w:r>
      <w:r w:rsidR="00FD00F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3-ФКЗ «О Государственном гимне Российской Федерации».</w:t>
      </w:r>
    </w:p>
    <w:p w:rsidR="00FD00F5" w:rsidRPr="00FD00F5" w:rsidRDefault="00FD00F5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FD00F5">
      <w:pPr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Использование Флага</w:t>
      </w:r>
    </w:p>
    <w:p w:rsidR="00F37DE7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 вывешивается постоянно на здани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63816" w:rsidRPr="00FD00F5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 может быть поднят (установлен) во время торжественных мероприятий. Флаг поднимается (устанавливается) во время массовых мероприятий (в том числе спортивных и физкультурно-оздоровител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ьных), проводимых образовательной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63816" w:rsidRPr="00FD00F5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Каждая учебная неделя начинается с торжественной линейки, на которой происходит поднятие Флага и прослушивание Гимна. Конкретное время начала и продолжительность линейки устанавливается приказом директора образовательной организации.</w:t>
      </w:r>
    </w:p>
    <w:p w:rsidR="00363816" w:rsidRPr="00FD00F5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Флага осуществляется по команде директора образовательной организации или ведущего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построении обучающихся и администрации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Регламентом, изложенным в приложении 1 к Положению.</w:t>
      </w:r>
    </w:p>
    <w:p w:rsidR="00363816" w:rsidRPr="00FD00F5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AA1EB6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подъема </w:t>
      </w:r>
      <w:r w:rsidRPr="00AA1EB6">
        <w:rPr>
          <w:rFonts w:ascii="Times New Roman" w:hAnsi="Times New Roman" w:cs="Times New Roman"/>
          <w:sz w:val="28"/>
          <w:szCs w:val="28"/>
          <w:lang w:val="ru-RU"/>
        </w:rPr>
        <w:t>Флага директор образовательной организации назначает знаменную группу в составе знаменосца и ассистентов из обучающихся и работников образовательной организации, проявивших выдающиеся успехи в разных сферах деятельности</w:t>
      </w:r>
      <w:r w:rsidR="00AA1EB6" w:rsidRPr="00AA1EB6">
        <w:rPr>
          <w:rFonts w:ascii="Times New Roman" w:hAnsi="Times New Roman" w:cs="Times New Roman"/>
          <w:sz w:val="28"/>
          <w:szCs w:val="28"/>
          <w:lang w:val="ru-RU"/>
        </w:rPr>
        <w:t>, юнармейцы</w:t>
      </w:r>
      <w:r w:rsidRPr="00AA1E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3816" w:rsidRPr="00FD00F5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363816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 поднимается на мачте (флагштоке). 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чта (флагшток) устанавливается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помещении образовательной организации в месте, обеспечивающем лучшую видимость Флага и возможность построения обучающихся и административного персонала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фойе возле центрального входа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7DE7" w:rsidRPr="00FD00F5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Мачта (флагшток) для подъема Флага изготавливается из металлических труб. Высота мачты (флагштока) – 5–10 м. Нижняя часть мачты (флагштока) диаметром 8–10 см составляет одну треть общей длины, диаметр верхней части – 4–6 см.</w:t>
      </w:r>
    </w:p>
    <w:p w:rsidR="00F37DE7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нижней и верхней частях мачты (флагштока) крепятся два ролика. Нижний ролик крепится на расстоянии 1 м от уровня земли, а верхний – 0,1 м от конца мачты (флагштока). К роликам прикрепляется стальной трос с приспособлениями для крепления Флага.</w:t>
      </w:r>
    </w:p>
    <w:p w:rsidR="0059299F" w:rsidRPr="00FD00F5" w:rsidRDefault="0059299F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59299F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="0059299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Полотнище Флага имеет длину 1,8 м и ширину 1,2 м.</w:t>
      </w:r>
    </w:p>
    <w:p w:rsidR="0059299F" w:rsidRPr="00FD00F5" w:rsidRDefault="0059299F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59299F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="0059299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Спуск Флага производится знаменной</w:t>
      </w:r>
      <w:r w:rsidR="005929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группы, назначаемой директором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организации, при участии работников образовательной организации и </w:t>
      </w:r>
      <w:r w:rsidRPr="00AA1EB6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обучающихся, которым будет доверено поднять Государственный флаг Российской Федерации в начале следующей недели.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Спуск производится в соответствии с</w:t>
      </w:r>
      <w:r w:rsidR="00952D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Регламентом, изложенным в приложении 1 к Положению в конце учебной недели в часы, установленные приказом </w:t>
      </w:r>
      <w:r w:rsidR="00952D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директора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:rsidR="00952DAD" w:rsidRPr="00FD00F5" w:rsidRDefault="00952DAD" w:rsidP="0059299F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952DAD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</w:t>
      </w:r>
      <w:r w:rsidR="00952D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спуска Флаг доставляется в комнату его хранения. При необходимости принимаются меры по его сушке и чистке.</w:t>
      </w:r>
    </w:p>
    <w:p w:rsidR="00952DAD" w:rsidRPr="00FD00F5" w:rsidRDefault="00952DAD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952DAD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</w:t>
      </w:r>
      <w:r w:rsidR="00952D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952D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состоянием Флага еженедельно осуществляет работник, назначенный приказом директора образовательной организации (ответственный за хранение Флага). Результаты еженедельного осмотра заносятся в книгу осмотра и выдачи Государственного флага Российской Федерации.</w:t>
      </w:r>
    </w:p>
    <w:p w:rsidR="00952DAD" w:rsidRPr="00FD00F5" w:rsidRDefault="00952DAD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952DAD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</w:t>
      </w:r>
      <w:r w:rsidR="00952D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повреждения Флаг должен быть немедленно заменен запасным.</w:t>
      </w:r>
    </w:p>
    <w:p w:rsidR="00D736F7" w:rsidRPr="00FD00F5" w:rsidRDefault="00D736F7" w:rsidP="00952DAD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736F7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человек: 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знаменосца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трех ассистентов, в соответствии с Регламентом, изложенным в приложении 2 к Положению. Персональный состав знаменной группы устанавливает директор образовательной организации.</w:t>
      </w:r>
    </w:p>
    <w:p w:rsidR="00D736F7" w:rsidRPr="00FD00F5" w:rsidRDefault="00D736F7" w:rsidP="00D736F7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736F7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2.13.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дни траура в верхней части древка Флага крепится черная лента, длина которой равна длине полотнища Флага. Флаг, поднятый на мачте (флагштоке), приспускается до половины высоты мачты (флагштока).</w:t>
      </w:r>
    </w:p>
    <w:p w:rsidR="00D736F7" w:rsidRPr="00FD00F5" w:rsidRDefault="00D736F7" w:rsidP="00D736F7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736F7">
      <w:pPr>
        <w:tabs>
          <w:tab w:val="left" w:pos="1418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2.14.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одновременном подъеме (размещении) Флага и флага субъекта РФ, муниципального образования, общественного объединения или 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Флаг располагается с левой стороны от другого флага, если стоять к ним лицом; при одновременном подъеме (размещении) нечетного числа флагов Флаг располагается в центре, а при подъеме (размещении) четного числа флагов (но более двух) – левее центра.</w:t>
      </w:r>
    </w:p>
    <w:p w:rsidR="00D736F7" w:rsidRPr="00FD00F5" w:rsidRDefault="00D736F7" w:rsidP="00D736F7">
      <w:pPr>
        <w:tabs>
          <w:tab w:val="left" w:pos="1418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2.15. При одновременном подъеме (размещении) Флага и других флагов размер флага субъекта РФ, муниципального образования, </w:t>
      </w:r>
      <w:r w:rsidR="009278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927845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может превышать размер Флага, а высота подъема Флага не может быть меньше высоты подъема других флагов.</w:t>
      </w:r>
    </w:p>
    <w:p w:rsidR="00D736F7" w:rsidRPr="00FD00F5" w:rsidRDefault="00D736F7" w:rsidP="00FD00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Использование Гимна</w:t>
      </w:r>
    </w:p>
    <w:p w:rsidR="00D736F7" w:rsidRPr="00FD00F5" w:rsidRDefault="00D736F7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B0166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="00B0166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Гимна размещается в помещениях (части помещений), отведенных для экспозиции, посвященной государственной символике. Такие помещения (части помещений) должны быть эстетично оформлены и размещены вдали от хозяйственно-бытовых комнат, прохода и гардероба.</w:t>
      </w:r>
    </w:p>
    <w:p w:rsidR="00F37DE7" w:rsidRPr="00FD00F5" w:rsidRDefault="00363816" w:rsidP="00B0166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="00B0166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Официальным является исполнение Гимна в 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Федеральном конституционном законе от 25.12.2000</w:t>
      </w:r>
      <w:r w:rsidR="00B016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3-ФКЗ «О Государственном гимне Российской Федерации»,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p w:rsidR="00F37DE7" w:rsidRPr="00B01669" w:rsidRDefault="00363816" w:rsidP="00B01669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66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="00B0166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0166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 исполняется:</w:t>
      </w:r>
    </w:p>
    <w:p w:rsidR="00F37DE7" w:rsidRPr="00FD00F5" w:rsidRDefault="00363816" w:rsidP="00DB51B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официальной церемонии подъема Флага и других официальных церемоний;</w:t>
      </w:r>
    </w:p>
    <w:p w:rsidR="00F37DE7" w:rsidRPr="00FD00F5" w:rsidRDefault="00363816" w:rsidP="00DB51B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открытии памятников и памятных знаков, установленных по решению государственных органов и органов местного самоуправления;</w:t>
      </w:r>
    </w:p>
    <w:p w:rsidR="00F37DE7" w:rsidRPr="00FD00F5" w:rsidRDefault="00363816" w:rsidP="00DB51B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открытии и закрытии торжественных собраний, посвященных государственным и муниципальным праздникам;</w:t>
      </w:r>
    </w:p>
    <w:p w:rsidR="006F77DE" w:rsidRDefault="00363816" w:rsidP="00DB51B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первым уроком (занятием) в день начала нового учебного года, а также во время проводимых торжественных мероприятий, посвященных государстве</w:t>
      </w:r>
      <w:r w:rsidR="006F77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 и муниципальным праздникам;</w:t>
      </w:r>
    </w:p>
    <w:p w:rsidR="00F37DE7" w:rsidRDefault="00363816" w:rsidP="00DB51B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77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иных случаях во время торжественных мероприятий.</w:t>
      </w:r>
    </w:p>
    <w:p w:rsidR="00DB51B5" w:rsidRPr="006F77DE" w:rsidRDefault="00DB51B5" w:rsidP="00DB51B5">
      <w:pPr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при вставании и стоянии вследствие состояния здоровья: пожилых людей, инвалидов, больных и травмированных, а также детей раннего возраста.</w:t>
      </w:r>
    </w:p>
    <w:p w:rsidR="00994AFF" w:rsidRPr="00FD00F5" w:rsidRDefault="00994AFF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официальном исполнении Гимна мужчины должны находиться без головных уборов. Данное требование имеет ряд исключений, основанных на традициях и правах личных свобод граждан. Например, не обнажают головы те, кто имеет специальный головной убор, ношение которого вызвано состоянием здоровья.</w:t>
      </w:r>
    </w:p>
    <w:p w:rsidR="00F37DE7" w:rsidRPr="00FD00F5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не обнажать голову при нахождении в исключительно неблагоприятных погодных, природных или технических условиях, когда обнажение головы на время исполнения гимна действительно способно привести к потере здоровья, травме или создать угрозу жизни.</w:t>
      </w:r>
    </w:p>
    <w:p w:rsidR="00F37DE7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не обнажать голову лицам, религиозные убеждения которых рассматривают обнажение головы как акт неуважения и (или) унижения.</w:t>
      </w:r>
    </w:p>
    <w:p w:rsidR="00994AFF" w:rsidRPr="00FD00F5" w:rsidRDefault="00994AFF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официальном исполнении Гимна следует соблюдать тишину и сократить передвижения и перемещения до предельно возможного минимума. Гимн следует выслушать молча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подпевая исполнению.</w:t>
      </w:r>
    </w:p>
    <w:p w:rsidR="00994AFF" w:rsidRPr="00FD00F5" w:rsidRDefault="00994AFF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исполнение Гимна сопровождается поднятием Флага, присутствующие поворачиваются лицом к поднимаемому Флагу.</w:t>
      </w:r>
    </w:p>
    <w:p w:rsidR="00994AFF" w:rsidRPr="00FD00F5" w:rsidRDefault="00994AFF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исполнении Гимна со словами исполняется весь Гимн целиком (три куплета с повторением припева после каждого куплета). В исключительных случаях возможно исполнение гимна со словами в составе только первого куплета и припева.</w:t>
      </w:r>
    </w:p>
    <w:p w:rsidR="00994AFF" w:rsidRPr="00FD00F5" w:rsidRDefault="00994AFF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DB51B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="00DB51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исполнении Гимна без слов исполняются вступление, куплет и припев. Троекратное исполнение куплетов и припевов при исполнении Гимна без слов не применяется.</w:t>
      </w:r>
    </w:p>
    <w:p w:rsidR="00D736F7" w:rsidRDefault="00D736F7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37DE7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Использование Герба</w:t>
      </w:r>
    </w:p>
    <w:p w:rsidR="00D736F7" w:rsidRPr="00FD00F5" w:rsidRDefault="00D736F7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60435F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использование Герба, в том числе его изображения, если такое использование не является надругательством над Гербом.</w:t>
      </w:r>
    </w:p>
    <w:p w:rsidR="00D736F7" w:rsidRPr="00FD00F5" w:rsidRDefault="00D736F7" w:rsidP="0060435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60435F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="00D736F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образовательной организации Герб размещается в помещениях (части помещений), отведенных для экспозиции, посвященной государственной символике. Такие помещения должны быть эстетично оформлены и размещены вдали от хозяйственно-бытовых комнат, прохода и гардероба.</w:t>
      </w:r>
    </w:p>
    <w:p w:rsidR="00D736F7" w:rsidRPr="00FD00F5" w:rsidRDefault="00D736F7" w:rsidP="0060435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60435F" w:rsidP="0060435F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одновременном размещении Герба и герба (геральдического знака) субъекта РФ, муниципального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Герб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Герб располагается в центре, а при размещении четного числа гербов (но более двух) – левее центра.</w:t>
      </w:r>
    </w:p>
    <w:p w:rsidR="00F37DE7" w:rsidRPr="00FD00F5" w:rsidRDefault="00363816" w:rsidP="0051133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AB392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одновременном размещении Герба и других гербов (геральдических знаков) размер герба (геральдического знака) субъекта РФ, муниципального образования, </w:t>
      </w:r>
      <w:r w:rsidR="00440E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440E1B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может превышать размер Герба, при этом Герб не может быть размещен ниже других гербов (геральдических знаков).</w:t>
      </w:r>
    </w:p>
    <w:p w:rsidR="0060435F" w:rsidRDefault="0060435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5030CF" w:rsidRDefault="00363816" w:rsidP="005030CF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1 </w:t>
      </w:r>
    </w:p>
    <w:p w:rsidR="00F37DE7" w:rsidRPr="00FD00F5" w:rsidRDefault="00363816" w:rsidP="005030CF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об использовании</w:t>
      </w:r>
      <w:r w:rsidR="005030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 символов</w:t>
      </w:r>
      <w:r w:rsidR="005030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5030CF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 образования </w:t>
      </w:r>
      <w:r w:rsidR="005030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Мейныпильгыно»</w:t>
      </w:r>
    </w:p>
    <w:p w:rsidR="00F37DE7" w:rsidRPr="00FD00F5" w:rsidRDefault="00F37DE7" w:rsidP="00FD00F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Регламент подъема и спуска Государственного флага Российской Федерации в МБОУ </w:t>
      </w:r>
      <w:r w:rsidR="005D45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«Центр образования с. Мейныпильгыно»</w:t>
      </w:r>
    </w:p>
    <w:p w:rsidR="005D45B3" w:rsidRPr="00FD00F5" w:rsidRDefault="005D45B3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проведения церемонии </w:t>
      </w:r>
      <w:r w:rsidRPr="005D45B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одъема и спуска Флага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спортивный зал, холл.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церемонии могут участвовать обучающиеся образовательной организации, представители 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овета обучающихся и 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овета родителей, работник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дни государственных праздников в церемонии могут принимать участие приглашенные гости.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Директор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 вправе определять категорию участников церемонии самостоятельно.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информирует классы (группы), не принимающие участие в церемонии, о составе знаменной группы, оглашает календарь памятных дат общегосударственного и локального значения на неделю – на первом уроке в день проведения церемонии. Рекомендуется исполнение краткой версии (куплет и припев) Гимна одновременно с участниками церемонии по стойке «Смирно».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церемониях, посвященных государственным праздникам и памятным дням истории, по возможности проводится общее торжественное построение образовательной организации.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Церемонией руководит ответственное лицо, определенное 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директором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 (далее –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церемонии).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на церемонию осуществляется с учетом конструктивных особенностей места проведения церемонии.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церемонии формируется знаменная группа (знаменосец и ассистенты). При поднятии Флага на мачту (флагшток) назначается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 ассистента, при использовании флага на древке –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ассистента.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="005D45B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знаменную группу входят учащиеся, имеющие учебные, спортивные, творческие и общественно значимые достижения</w:t>
      </w:r>
      <w:r w:rsidR="00804A1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юнармейцы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Также могут включаться работники образовательной организации и родители (законные представители) обучающихся.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10.</w:t>
      </w:r>
      <w:r w:rsidR="00804A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началом церемонии знаменной группе выдается Флаг для подготовки к церемонии выноса и подъема Флага.</w:t>
      </w:r>
    </w:p>
    <w:p w:rsidR="00F37DE7" w:rsidRPr="00FD00F5" w:rsidRDefault="00804A1B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Директор</w:t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церемонии оглашает ее участникам, кому и почему предоставлено право нести (поднимать) Флаг.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В начале церемонии руководитель церемонии дает команду для построения «Внимание! Под Государственный 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– смирно! Флаг внести!».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выносит Флаг. Образовательная организация вправе сопроводить вынос Флага</w:t>
      </w:r>
      <w:r w:rsidR="00D00E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маршем. Важно выдержать «шаг в ногу» знаменной группы.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останавливается у флагштока (при использовании флага на древке у места установки флага), разворачивается по команде «направо» и встает по стойке смирно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 к участникам церемонии.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15.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церемонии озву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чивает команду «Флаг поднять» (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 поднимают на флагшток).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16.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прикрепляется к мачте (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флагштоку) и быстро поднимается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Поднятие Флага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сопровождается исполнением Гимна. При этом все присутствующие на церемонии стоят по стойке смирно.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17.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поднятия Флага знаменная группа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встает по стойке смирно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 к участникам церемонии.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завершении процедуры поднятия Флага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церемонии произносит команду «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ольно!».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Церемония может продолжиться информационным блоком.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20.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завершения церемонии дается команда «налево» и все участники последовательно, вслед за руководителем церемонии</w:t>
      </w:r>
      <w:r w:rsidR="00D00E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покидают место проведения церемонии.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Церемония спуска Флага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конце каждой учебной недели по окончании последнего учебного занятия (урока).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церемонии спуска Флага участвуют знаменная группа, работники образовательной организации. Также в церемонии могут принять участие те лица, которым будет доверено поднять Флаг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начале следующей недели.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церемонии дает команду о готовности к спуску Флага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нимание! Флаг спустить».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24.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Знаменосец приступает к медленному спуску Флага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7DE7" w:rsidRPr="00FD00F5" w:rsidRDefault="00363816" w:rsidP="005D45B3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25.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выносит Флаг маршем «</w:t>
      </w:r>
      <w:r w:rsidR="00AA1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 в ногу» и передает его дежурному для доставки в место хранения.</w:t>
      </w:r>
    </w:p>
    <w:p w:rsidR="00F37DE7" w:rsidRPr="00FD00F5" w:rsidRDefault="00F37DE7" w:rsidP="00FD00F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0309" w:rsidRDefault="000A03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D00E53" w:rsidRDefault="00D00E53" w:rsidP="00D00E53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</w:p>
    <w:p w:rsidR="00D00E53" w:rsidRPr="00FD00F5" w:rsidRDefault="00D00E53" w:rsidP="00D00E53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об использовании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 символов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Мейныпильгыно»</w:t>
      </w:r>
    </w:p>
    <w:p w:rsidR="00F37DE7" w:rsidRPr="00FD00F5" w:rsidRDefault="00F37DE7" w:rsidP="00FD00F5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B45AA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Регламент вноса и выноса </w:t>
      </w:r>
    </w:p>
    <w:p w:rsidR="003B45AA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Государственного флага Российской Федерации </w:t>
      </w:r>
    </w:p>
    <w:p w:rsidR="00F37DE7" w:rsidRPr="00FD00F5" w:rsidRDefault="00363816" w:rsidP="00FD00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3B45AA" w:rsidRPr="00FD00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3B45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«Центр образования с. Мейныпильгыно»</w:t>
      </w:r>
    </w:p>
    <w:p w:rsidR="003B45AA" w:rsidRDefault="003B45AA" w:rsidP="00FD00F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7DE7" w:rsidRPr="00FD00F5" w:rsidRDefault="00363816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3B45A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знаменной группы принимает Флаг от ответственного за хранение Флага.</w:t>
      </w:r>
    </w:p>
    <w:p w:rsidR="00F37DE7" w:rsidRPr="00FD00F5" w:rsidRDefault="00363816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3B45A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несет Флаг к месту проведения мероприятия.</w:t>
      </w:r>
    </w:p>
    <w:p w:rsidR="00F37DE7" w:rsidRPr="00FD00F5" w:rsidRDefault="003B45AA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выстраивается в две колонны по два человека – каждый держит угол флага. Руководитель знаменной группы держит передний правый край полотнища.</w:t>
      </w:r>
    </w:p>
    <w:p w:rsidR="00F37DE7" w:rsidRPr="00FD00F5" w:rsidRDefault="003B45AA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вносом Флага директор образовательной организации или ведущий мероприятия объявляет присутствующим: «Внимание! Государственный флаг Российской Федерации».</w:t>
      </w:r>
    </w:p>
    <w:p w:rsidR="00F37DE7" w:rsidRPr="00FD00F5" w:rsidRDefault="00363816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3B45A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вносит Флаг так, чтобы для большей части присутствующих он выглядел развернутым с расположением горизонтальных полос: верхней – белого, средней – синего и нижней – красного цвета. Оркестр исполняет Гимн. В ином случае Гимн исполняется с использованием технических средств воспроизведения звукозаписи.</w:t>
      </w:r>
    </w:p>
    <w:p w:rsidR="00F37DE7" w:rsidRPr="00FD00F5" w:rsidRDefault="003B45AA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останавливается перед присутствующими так, чтобы быть максимально в центре или посередине перед присутствующими,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перед директором образовательной организации.</w:t>
      </w:r>
    </w:p>
    <w:p w:rsidR="00F37DE7" w:rsidRPr="00FD00F5" w:rsidRDefault="00363816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3B45A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Знаменная группа уносит Флаг после окончания исполнения Гимна или после окончания мероприятия, если оно было непродолжительным. В последнем случае перед началом выноса Флага директор образовательной организации или ведущий мероприятия объявляет присутствующим: «Внимание! Государственный флаг Российской Федерации». Вынос Флага может сопровождаться исполнением Гимна или быть без такового.</w:t>
      </w:r>
    </w:p>
    <w:p w:rsidR="00F37DE7" w:rsidRPr="00FD00F5" w:rsidRDefault="003B45AA" w:rsidP="003B45AA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63816" w:rsidRPr="00FD00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окончания церемонии руководитель знаменной группы отдает Флаг ответственному за хранение Флага.</w:t>
      </w:r>
    </w:p>
    <w:sectPr w:rsidR="00F37DE7" w:rsidRPr="00FD00F5" w:rsidSect="0025654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309"/>
    <w:rsid w:val="001B2D93"/>
    <w:rsid w:val="001C02A8"/>
    <w:rsid w:val="0025654F"/>
    <w:rsid w:val="002D33B1"/>
    <w:rsid w:val="002D3591"/>
    <w:rsid w:val="003514A0"/>
    <w:rsid w:val="00363816"/>
    <w:rsid w:val="003B45AA"/>
    <w:rsid w:val="00440E1B"/>
    <w:rsid w:val="004F7E17"/>
    <w:rsid w:val="005030CF"/>
    <w:rsid w:val="00511333"/>
    <w:rsid w:val="0059299F"/>
    <w:rsid w:val="005A05CE"/>
    <w:rsid w:val="005C0190"/>
    <w:rsid w:val="005D45B3"/>
    <w:rsid w:val="0060435F"/>
    <w:rsid w:val="00653AF6"/>
    <w:rsid w:val="006F77DE"/>
    <w:rsid w:val="007A44F0"/>
    <w:rsid w:val="00804A1B"/>
    <w:rsid w:val="00911294"/>
    <w:rsid w:val="00927845"/>
    <w:rsid w:val="00952DAD"/>
    <w:rsid w:val="00994AFF"/>
    <w:rsid w:val="00AA1EB6"/>
    <w:rsid w:val="00AB392A"/>
    <w:rsid w:val="00B01669"/>
    <w:rsid w:val="00B5405A"/>
    <w:rsid w:val="00B73A5A"/>
    <w:rsid w:val="00CB001E"/>
    <w:rsid w:val="00D00E53"/>
    <w:rsid w:val="00D016C3"/>
    <w:rsid w:val="00D736F7"/>
    <w:rsid w:val="00DB51B5"/>
    <w:rsid w:val="00DF6F5A"/>
    <w:rsid w:val="00E438A1"/>
    <w:rsid w:val="00E6733C"/>
    <w:rsid w:val="00F01E19"/>
    <w:rsid w:val="00F37DE7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AwqwvsxCoX9Pf0vQvEqp5nqQkFQ=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TiKe9G/SJi7CK3LiQ6QBBjMHYso=</DigestValue>
    </Reference>
  </SignedInfo>
  <SignatureValue>aNBIDlVTnSvJlKHMjLY9RzpDKY3L3DkveE38XrOi+xdy8hgw8XkBOhz/aSBtG+AWoCo3o9IRIiG1
sZkkDeH0OuCwBcDBYqUpm2BPpFiZGlks+byjNX5ogq2bsJ4IvovT/wZmFsulUeg1TIdZ1ql/Od1E
j7Ts75kI1TTCHFRW/bAYUWy9ODYrcz2qL2oQLjMh7pz4IWladgt097Zl8mhZzP3YEVQweT9VNuMI
EbdLZA1s4s3f9XiRBevObRhaYd+PqYQ1ey/pRwnxxciSH0xHLKO5cEeOLClUBBDmZH5EjSjp9Uu2
of8yT5KPWerKRpBjTAN250zssrtiB2iBlnoZ4w==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ap3tgjT5gEdoNhdKuxYl7HA/5RM=</DigestValue>
      </Reference>
      <Reference URI="/word/styles.xml?ContentType=application/vnd.openxmlformats-officedocument.wordprocessingml.styles+xml">
        <DigestMethod Algorithm="http://www.w3.org/2000/09/xmldsig#sha1"/>
        <DigestValue>BYwKH3PbLVAw/Rme6ERfQIhHrRc=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numbering.xml?ContentType=application/vnd.openxmlformats-officedocument.wordprocessingml.numbering+xml">
        <DigestMethod Algorithm="http://www.w3.org/2000/09/xmldsig#sha1"/>
        <DigestValue>XdZVJTn8da/PhKarRPgTFKbCFj8=</DigestValue>
      </Reference>
      <Reference URI="/word/settings.xml?ContentType=application/vnd.openxmlformats-officedocument.wordprocessingml.settings+xml">
        <DigestMethod Algorithm="http://www.w3.org/2000/09/xmldsig#sha1"/>
        <DigestValue>JepcoWmIeDifQqxMjHgeNoeo58Q=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x43pAHxujf8H4Wz838mjifIBHUg=</DigestValue>
      </Reference>
      <Reference URI="/word/media/image1.jpeg?ContentType=image/jpeg">
        <DigestMethod Algorithm="http://www.w3.org/2000/09/xmldsig#sha1"/>
        <DigestValue>MKwar4pgfkWwV50ip1ZuAdSnV8A=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2022-06-10T02:11:39Z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2022-06-10T02:11:39Z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Федорова</dc:creator>
  <dc:description>Подготовлено экспертами Актион-МЦФЭР</dc:description>
  <cp:lastModifiedBy>18</cp:lastModifiedBy>
  <cp:revision>2</cp:revision>
  <dcterms:created xsi:type="dcterms:W3CDTF">2022-06-10T02:11:00Z</dcterms:created>
  <dcterms:modified xsi:type="dcterms:W3CDTF">2022-06-10T02:11:00Z</dcterms:modified>
</cp:coreProperties>
</file>